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Pr="00190EAF" w:rsidRDefault="00505BFB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023BEB" w:rsidR="00D47092" w:rsidRPr="00190EAF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190EAF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190EAF">
        <w:rPr>
          <w:b/>
          <w:color w:val="auto"/>
          <w:szCs w:val="24"/>
        </w:rPr>
        <w:t>,</w:t>
      </w:r>
      <w:r w:rsidRPr="00190EAF">
        <w:rPr>
          <w:b/>
          <w:color w:val="auto"/>
          <w:szCs w:val="24"/>
        </w:rPr>
        <w:t xml:space="preserve"> FRACCIÓN V </w:t>
      </w:r>
      <w:r w:rsidR="007D7AE1" w:rsidRPr="00190EAF">
        <w:rPr>
          <w:b/>
          <w:color w:val="auto"/>
          <w:szCs w:val="24"/>
        </w:rPr>
        <w:t>D</w:t>
      </w:r>
      <w:r w:rsidR="00582135" w:rsidRPr="00190EAF">
        <w:rPr>
          <w:b/>
          <w:color w:val="auto"/>
          <w:szCs w:val="24"/>
        </w:rPr>
        <w:t>E LA CONSTITUCIÓN POLÍTICA, 18 Y</w:t>
      </w:r>
      <w:r w:rsidRPr="00190EAF">
        <w:rPr>
          <w:b/>
          <w:color w:val="auto"/>
          <w:szCs w:val="24"/>
        </w:rPr>
        <w:t xml:space="preserve"> 28</w:t>
      </w:r>
      <w:r w:rsidR="00582135" w:rsidRPr="00190EAF">
        <w:rPr>
          <w:b/>
          <w:color w:val="auto"/>
          <w:szCs w:val="24"/>
        </w:rPr>
        <w:t>,</w:t>
      </w:r>
      <w:r w:rsidRPr="00190EAF">
        <w:rPr>
          <w:b/>
          <w:color w:val="auto"/>
          <w:szCs w:val="24"/>
        </w:rPr>
        <w:t xml:space="preserve"> FRACCIÓN XII DE LA LEY DE GOBIE</w:t>
      </w:r>
      <w:r w:rsidR="000140DE" w:rsidRPr="00190EAF">
        <w:rPr>
          <w:b/>
          <w:color w:val="auto"/>
          <w:szCs w:val="24"/>
        </w:rPr>
        <w:t>RNO DEL PODER LEGISLATIVO, 117,</w:t>
      </w:r>
      <w:r w:rsidRPr="00190EAF">
        <w:rPr>
          <w:b/>
          <w:color w:val="auto"/>
          <w:szCs w:val="24"/>
        </w:rPr>
        <w:t xml:space="preserve"> 118</w:t>
      </w:r>
      <w:r w:rsidR="000140DE" w:rsidRPr="00190EAF">
        <w:rPr>
          <w:b/>
          <w:color w:val="auto"/>
          <w:szCs w:val="24"/>
        </w:rPr>
        <w:t xml:space="preserve"> Y 123</w:t>
      </w:r>
      <w:r w:rsidRPr="00190EAF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4403AA" w:rsidRPr="00190EAF">
        <w:rPr>
          <w:b/>
          <w:color w:val="auto"/>
          <w:szCs w:val="24"/>
        </w:rPr>
        <w:t>EL</w:t>
      </w:r>
      <w:r w:rsidR="00582135" w:rsidRPr="00190EAF">
        <w:rPr>
          <w:b/>
          <w:color w:val="auto"/>
          <w:szCs w:val="24"/>
        </w:rPr>
        <w:t xml:space="preserve"> SIGUIENTE</w:t>
      </w:r>
      <w:r w:rsidR="008F1CCD" w:rsidRPr="00190EAF">
        <w:rPr>
          <w:b/>
          <w:color w:val="auto"/>
          <w:szCs w:val="24"/>
        </w:rPr>
        <w:t>,</w:t>
      </w:r>
    </w:p>
    <w:p w14:paraId="1E62A178" w14:textId="77777777" w:rsidR="00186CDE" w:rsidRPr="00190EAF" w:rsidRDefault="00186CDE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46B355AA" w14:textId="3BA18866" w:rsidR="00D25443" w:rsidRPr="00190EAF" w:rsidRDefault="00410232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  <w:r w:rsidRPr="00190EAF">
        <w:rPr>
          <w:b/>
          <w:color w:val="auto"/>
          <w:szCs w:val="24"/>
        </w:rPr>
        <w:t>D E C R E T O</w:t>
      </w:r>
    </w:p>
    <w:p w14:paraId="57E8E0E7" w14:textId="77777777" w:rsidR="009B4268" w:rsidRPr="00190EAF" w:rsidRDefault="009B4268" w:rsidP="0053442A">
      <w:pPr>
        <w:spacing w:after="0" w:line="240" w:lineRule="auto"/>
        <w:ind w:left="0" w:right="488" w:firstLine="0"/>
        <w:rPr>
          <w:rFonts w:eastAsia="Times New Roman"/>
          <w:b/>
          <w:bCs/>
          <w:color w:val="auto"/>
          <w:szCs w:val="24"/>
          <w:lang w:eastAsia="es-ES"/>
        </w:rPr>
      </w:pPr>
    </w:p>
    <w:p w14:paraId="47F6CBBD" w14:textId="77777777" w:rsidR="006038C8" w:rsidRPr="00190EAF" w:rsidRDefault="006038C8" w:rsidP="006038C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190EAF">
        <w:rPr>
          <w:b/>
          <w:color w:val="auto"/>
          <w:szCs w:val="24"/>
        </w:rPr>
        <w:t>Por el que se autoriza la donación de un bien inmueble del patrimonio estatal a favor del Banco de Alimentos de Mérida, A.C.</w:t>
      </w:r>
    </w:p>
    <w:p w14:paraId="61F2F3AA" w14:textId="77777777" w:rsidR="006038C8" w:rsidRPr="00190EAF" w:rsidRDefault="006038C8" w:rsidP="006038C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407AB113" w14:textId="77777777" w:rsidR="006038C8" w:rsidRPr="00190EAF" w:rsidRDefault="006038C8" w:rsidP="006038C8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190EAF">
        <w:rPr>
          <w:rFonts w:eastAsia="Calibri"/>
          <w:b/>
          <w:color w:val="auto"/>
          <w:szCs w:val="24"/>
          <w:lang w:eastAsia="en-US"/>
        </w:rPr>
        <w:t>Artículo único. Donación</w:t>
      </w:r>
    </w:p>
    <w:p w14:paraId="3DE80A75" w14:textId="77777777" w:rsidR="006038C8" w:rsidRPr="00190EAF" w:rsidRDefault="006038C8" w:rsidP="006038C8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09E5FB35" w14:textId="77777777" w:rsidR="006038C8" w:rsidRPr="00190EAF" w:rsidRDefault="006038C8" w:rsidP="006038C8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 w:rsidRPr="00190EAF">
        <w:rPr>
          <w:rFonts w:eastAsia="Calibri"/>
          <w:color w:val="auto"/>
          <w:szCs w:val="24"/>
          <w:lang w:eastAsia="en-US"/>
        </w:rPr>
        <w:t xml:space="preserve">Se autoriza al Gobierno del Estado de Yucatán, para los efectos públicos correspondientes, la donación, a favor del </w:t>
      </w:r>
      <w:r w:rsidRPr="00190EAF">
        <w:rPr>
          <w:color w:val="auto"/>
          <w:szCs w:val="24"/>
        </w:rPr>
        <w:t>Banco de Alimentos de Mérida, A.C.</w:t>
      </w:r>
      <w:r w:rsidRPr="00190EAF">
        <w:rPr>
          <w:rFonts w:eastAsia="Calibri"/>
          <w:color w:val="auto"/>
          <w:szCs w:val="24"/>
          <w:lang w:eastAsia="en-US"/>
        </w:rPr>
        <w:t>, del siguiente bien inmueble del patrimonio estatal:</w:t>
      </w:r>
    </w:p>
    <w:p w14:paraId="56E2C56B" w14:textId="77777777" w:rsidR="006038C8" w:rsidRPr="00190EAF" w:rsidRDefault="006038C8" w:rsidP="006038C8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54BC774E" w14:textId="77777777" w:rsidR="006038C8" w:rsidRPr="00190EAF" w:rsidRDefault="006038C8" w:rsidP="006038C8">
      <w:pPr>
        <w:spacing w:after="0" w:line="240" w:lineRule="auto"/>
        <w:ind w:left="0" w:right="0" w:firstLine="0"/>
        <w:rPr>
          <w:color w:val="auto"/>
          <w:szCs w:val="24"/>
        </w:rPr>
      </w:pPr>
      <w:r w:rsidRPr="00190EAF">
        <w:rPr>
          <w:color w:val="auto"/>
          <w:szCs w:val="24"/>
        </w:rPr>
        <w:t xml:space="preserve">“Tablaje número cinco mil ochenta, ubicado en </w:t>
      </w:r>
      <w:proofErr w:type="spellStart"/>
      <w:r w:rsidRPr="00190EAF">
        <w:rPr>
          <w:color w:val="auto"/>
          <w:szCs w:val="24"/>
        </w:rPr>
        <w:t>Tekax</w:t>
      </w:r>
      <w:proofErr w:type="spellEnd"/>
      <w:r w:rsidRPr="00190EAF">
        <w:rPr>
          <w:color w:val="auto"/>
          <w:szCs w:val="24"/>
        </w:rPr>
        <w:t xml:space="preserve">, Yucatán, el cual tiene una extensión superficial de cero hectáreas, cincuenta áreas, cero centiáreas, el cual es de figura irregular cuyo perímetro se describe como sigue, según plano topográfico: partiendo del punto marcado con el número uno con rumbo sur cuarenta y cuatro grados cuarenta y cinco minutos quince punto sesenta y siete segundos oeste y una distancia de cincuenta metros cinco centímetros, se llega al punto marcado con el número dos; de este punto con rumbo sur cuarenta y cinco grados catorce minutos cuarenta y cuatro punto treinta y tres segundos este y una distancia de ciento trece metros cincuenta y cinco centímetros, se llega al punto marcado con el número tres; de este punto con rumbo norte setenta y dos grados treinta y siete minutos cuarenta y dos punto veinte segundos este y una distancia de tres metros veintisiete centímetros, se llega al punto marcado con el número cuatro; de este punto con rumbo norte diez grados treinta minutos ocho punto setenta y cuatro segundos este y una distancia de cincuenta y siete metros cinco centímetros, se llega al punto marcado con el número cinco; de este punto con rumbo norte cuarenta y cinco grados catorce minutos cuarenta y cuatro punto diecinueve segundos oeste y una distancia de ochenta y dos metros noventa y siete centímetros se llega al punto uno de partida, cerrando el perímetro que se describe. Sus linderos son: al norte, tablaje número cinco mil setenta y ocho; al sur, tablaje número cinco mil cinco mil ochenta y uno; al este, tablaje número cinco mil ochenta y uno; y al oeste, tablaje número cinco mil ochenta y uno"; inscrito en el Registro Público de la Propiedad y del Comercio del </w:t>
      </w:r>
      <w:r w:rsidRPr="00190EAF">
        <w:rPr>
          <w:color w:val="auto"/>
          <w:szCs w:val="24"/>
        </w:rPr>
        <w:lastRenderedPageBreak/>
        <w:t>Instituto de Seguridad Jurídica Patrimonial de Yucatán con el folio electrónico número 1581660 bajo el número de inscripción 3338681, de fecha 6 de septiembre de 2023.”</w:t>
      </w:r>
    </w:p>
    <w:p w14:paraId="5D39D894" w14:textId="77777777" w:rsidR="006038C8" w:rsidRPr="00190EAF" w:rsidRDefault="006038C8" w:rsidP="006038C8">
      <w:pPr>
        <w:spacing w:after="0" w:line="240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p w14:paraId="0F369F87" w14:textId="77777777" w:rsidR="006038C8" w:rsidRPr="00190EAF" w:rsidRDefault="006038C8" w:rsidP="006038C8">
      <w:pPr>
        <w:spacing w:after="0" w:line="240" w:lineRule="auto"/>
        <w:ind w:left="0" w:right="-6"/>
        <w:jc w:val="center"/>
        <w:rPr>
          <w:b/>
          <w:color w:val="auto"/>
          <w:szCs w:val="24"/>
        </w:rPr>
      </w:pPr>
      <w:r w:rsidRPr="00190EAF">
        <w:rPr>
          <w:b/>
          <w:color w:val="auto"/>
          <w:szCs w:val="24"/>
        </w:rPr>
        <w:t>Transitorio</w:t>
      </w:r>
    </w:p>
    <w:p w14:paraId="3D92B7E3" w14:textId="77777777" w:rsidR="006038C8" w:rsidRPr="00190EAF" w:rsidRDefault="006038C8" w:rsidP="006038C8">
      <w:pPr>
        <w:spacing w:after="0" w:line="240" w:lineRule="auto"/>
        <w:ind w:left="0" w:right="-6"/>
        <w:jc w:val="center"/>
        <w:rPr>
          <w:b/>
          <w:color w:val="auto"/>
          <w:szCs w:val="24"/>
        </w:rPr>
      </w:pPr>
    </w:p>
    <w:p w14:paraId="40A561FF" w14:textId="77777777" w:rsidR="006038C8" w:rsidRPr="00190EAF" w:rsidRDefault="006038C8" w:rsidP="006038C8">
      <w:pPr>
        <w:spacing w:after="0" w:line="240" w:lineRule="auto"/>
        <w:ind w:left="0" w:right="-6" w:firstLine="0"/>
        <w:rPr>
          <w:b/>
          <w:color w:val="auto"/>
          <w:szCs w:val="24"/>
        </w:rPr>
      </w:pPr>
      <w:r w:rsidRPr="00190EAF">
        <w:rPr>
          <w:b/>
          <w:color w:val="auto"/>
          <w:szCs w:val="24"/>
        </w:rPr>
        <w:t xml:space="preserve">Entrada en vigor </w:t>
      </w:r>
    </w:p>
    <w:p w14:paraId="23AD4802" w14:textId="77777777" w:rsidR="006038C8" w:rsidRPr="00190EAF" w:rsidRDefault="006038C8" w:rsidP="006038C8">
      <w:pPr>
        <w:spacing w:after="0" w:line="240" w:lineRule="auto"/>
        <w:ind w:left="0" w:right="-6" w:firstLine="0"/>
        <w:rPr>
          <w:color w:val="auto"/>
          <w:szCs w:val="24"/>
        </w:rPr>
      </w:pPr>
      <w:r w:rsidRPr="00190EAF">
        <w:rPr>
          <w:b/>
          <w:color w:val="auto"/>
          <w:szCs w:val="24"/>
        </w:rPr>
        <w:t xml:space="preserve">Artículo único. </w:t>
      </w:r>
      <w:r w:rsidRPr="00190EAF">
        <w:rPr>
          <w:color w:val="auto"/>
          <w:szCs w:val="24"/>
        </w:rPr>
        <w:t>Este decreto entrará en vigor el día siguiente al de su publicación en el Diario Oficial del Gobierno del Estado de Yucatán.</w:t>
      </w:r>
    </w:p>
    <w:p w14:paraId="4986EAC2" w14:textId="77777777" w:rsidR="009B4268" w:rsidRPr="00190EAF" w:rsidRDefault="009B4268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</w:p>
    <w:p w14:paraId="47033292" w14:textId="770B2D26" w:rsidR="00E70F74" w:rsidRPr="00190EAF" w:rsidRDefault="00E70F74" w:rsidP="0053442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eastAsia="es-ES"/>
        </w:rPr>
      </w:pPr>
      <w:r w:rsidRPr="00190EAF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2C0BEF">
        <w:rPr>
          <w:rFonts w:eastAsia="Times New Roman"/>
          <w:b/>
          <w:bCs/>
          <w:color w:val="auto"/>
          <w:szCs w:val="24"/>
          <w:lang w:eastAsia="es-ES"/>
        </w:rPr>
        <w:t xml:space="preserve">TREINTA </w:t>
      </w:r>
      <w:bookmarkStart w:id="0" w:name="_GoBack"/>
      <w:bookmarkEnd w:id="0"/>
      <w:r w:rsidR="00D8568F" w:rsidRPr="00190EAF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F835E4">
        <w:rPr>
          <w:rFonts w:eastAsia="Times New Roman"/>
          <w:b/>
          <w:bCs/>
          <w:color w:val="auto"/>
          <w:szCs w:val="24"/>
          <w:lang w:eastAsia="es-ES"/>
        </w:rPr>
        <w:t xml:space="preserve">MAYO </w:t>
      </w:r>
      <w:r w:rsidR="00B431D0" w:rsidRPr="00190EAF">
        <w:rPr>
          <w:rFonts w:eastAsia="Times New Roman"/>
          <w:b/>
          <w:bCs/>
          <w:color w:val="auto"/>
          <w:szCs w:val="24"/>
          <w:lang w:eastAsia="es-ES"/>
        </w:rPr>
        <w:t>DEL AÑO DOS MIL VEINTICUATRO</w:t>
      </w:r>
      <w:r w:rsidRPr="00190EAF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Pr="00190EAF" w:rsidRDefault="005914FF" w:rsidP="006371C1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4C025B6" w14:textId="1EBED5DF" w:rsidR="001006AD" w:rsidRPr="00190EAF" w:rsidRDefault="001006AD" w:rsidP="006371C1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190EAF">
        <w:rPr>
          <w:b/>
          <w:szCs w:val="24"/>
        </w:rPr>
        <w:t>PRESIDENTE</w:t>
      </w:r>
    </w:p>
    <w:p w14:paraId="4A5385FB" w14:textId="77777777" w:rsidR="00497B3B" w:rsidRPr="00190EAF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147BDC3" w14:textId="77777777" w:rsidR="00497B3B" w:rsidRPr="00190EAF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38479192" w14:textId="77777777" w:rsidR="00497B3B" w:rsidRPr="00190EAF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A739E13" w14:textId="77777777" w:rsidR="001006AD" w:rsidRPr="00190EAF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190EAF">
        <w:rPr>
          <w:b/>
          <w:szCs w:val="24"/>
        </w:rPr>
        <w:t>DIP. LUIS RENÉ FERNÁNDEZ VIDAL.</w:t>
      </w:r>
    </w:p>
    <w:p w14:paraId="1083E232" w14:textId="77777777" w:rsidR="001006AD" w:rsidRPr="00190EAF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604B7850" w14:textId="77777777" w:rsidR="00497B3B" w:rsidRPr="00190EAF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190EAF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90EAF">
              <w:rPr>
                <w:b/>
                <w:szCs w:val="24"/>
              </w:rPr>
              <w:tab/>
            </w:r>
            <w:r w:rsidRPr="00190EAF">
              <w:rPr>
                <w:b/>
                <w:szCs w:val="24"/>
              </w:rPr>
              <w:tab/>
              <w:t>SECRETARIA</w:t>
            </w:r>
          </w:p>
          <w:p w14:paraId="67551FA6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47AC13B2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F7C7F30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6282103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90EAF">
              <w:rPr>
                <w:b/>
                <w:szCs w:val="24"/>
              </w:rPr>
              <w:t xml:space="preserve">DIP. </w:t>
            </w:r>
            <w:r w:rsidRPr="00190EAF">
              <w:rPr>
                <w:b/>
                <w:bCs/>
                <w:szCs w:val="24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90EAF">
              <w:rPr>
                <w:b/>
                <w:szCs w:val="24"/>
              </w:rPr>
              <w:t>SECRETARIO</w:t>
            </w:r>
          </w:p>
          <w:p w14:paraId="50D516F9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19DF271A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0EBBF5A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F18AE4C" w14:textId="77777777" w:rsidR="001006AD" w:rsidRPr="00190EAF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90EAF">
              <w:rPr>
                <w:b/>
                <w:szCs w:val="24"/>
              </w:rPr>
              <w:t>DIP. RAFAEL ALEJANDRO ECHAZARRETA TORRES.</w:t>
            </w:r>
          </w:p>
        </w:tc>
      </w:tr>
    </w:tbl>
    <w:p w14:paraId="57459356" w14:textId="77777777" w:rsidR="00EA6377" w:rsidRPr="00190EAF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Cs w:val="24"/>
        </w:rPr>
      </w:pPr>
    </w:p>
    <w:sectPr w:rsidR="00EA6377" w:rsidRPr="00190EAF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2C0BEF" w:rsidRPr="002C0BEF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0BEF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47B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5CDC-B95B-4979-A349-92B7DFC6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42</cp:revision>
  <cp:lastPrinted>2023-05-30T20:08:00Z</cp:lastPrinted>
  <dcterms:created xsi:type="dcterms:W3CDTF">2021-11-09T15:49:00Z</dcterms:created>
  <dcterms:modified xsi:type="dcterms:W3CDTF">2024-05-29T19:18:00Z</dcterms:modified>
</cp:coreProperties>
</file>